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311ABC0" w:rsidR="005053AB" w:rsidRPr="00862CFC" w:rsidRDefault="001067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SUSTENTABLE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5381F6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D0C5A44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ACD-0908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DEF913B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7D6DE031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La intención de esta asignatura es que el egresado adopte valores y actitudes humanistas,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que lo lleven a vivir y ejercer profesionalmente de acuerdo con principios orientados hacia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la sustentabilidad, la cual es el factor medular de la dimensión filosófica del SNIT.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pretende, entonces, la formación de ciudadanos con valores de justicia social, equidad,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respeto y cuidado del entorno físico y biológico, capaces de afrontar, desde su ámbito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profesional, las necesidades emergentes del desarrollo y los desafíos que se presentan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los escenarios natural, social-cultural y económico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CEF0F13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Debido a la trascendencia de esta materia en la formación integral del estudiante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necesario que el docente como ejemplo a seguir, participe y conozca actividades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investigación, desarrollo tecnológico, innovación, gestión, y vinculación con los sectores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sociales que pueden ser utilizados como casos de estudio de desarrollo sustentable en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localidad o región.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B6CEFA0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Aplica una visión sustentable, en los ámbitos social, económico y ambiental que 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permitirá evaluar y disminuir el impacto de la sociedad sobre el entorno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28E4EBB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6F57F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8D83B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027159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C33ED1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DCFD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72A2A0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9AB1EB" w14:textId="77777777" w:rsidR="00EA40DC" w:rsidRPr="00862CF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4A875B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0D8FB3C7" w:rsidR="005053AB" w:rsidRPr="00862CFC" w:rsidRDefault="000A48E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7BEDBD3" w:rsidR="005053AB" w:rsidRPr="00862CFC" w:rsidRDefault="000A48E5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Escenario económico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A073A11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4.1 Economía y diversidad económica</w:t>
            </w:r>
          </w:p>
          <w:p w14:paraId="424B8055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4.2 Sistemas de producción (oferta y demanda)</w:t>
            </w:r>
          </w:p>
          <w:p w14:paraId="658714C5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4.3 Economía global vs economía local</w:t>
            </w:r>
          </w:p>
          <w:p w14:paraId="20CC7A30" w14:textId="0FC9E6F0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4.4 Producto interno bruto (PIB), distribución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E5">
              <w:rPr>
                <w:rFonts w:ascii="Arial" w:hAnsi="Arial" w:cs="Arial"/>
                <w:sz w:val="20"/>
                <w:szCs w:val="20"/>
              </w:rPr>
              <w:t>del PIB</w:t>
            </w:r>
          </w:p>
          <w:p w14:paraId="5F7847EC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4.5 Externalización e internalización de costos</w:t>
            </w:r>
          </w:p>
          <w:p w14:paraId="246C0353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4.6 Obsolescencia planificada y percibida</w:t>
            </w:r>
          </w:p>
          <w:p w14:paraId="45F63C33" w14:textId="43BF9F4B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4.7 Valoración económica de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E5">
              <w:rPr>
                <w:rFonts w:ascii="Arial" w:hAnsi="Arial" w:cs="Arial"/>
                <w:sz w:val="20"/>
                <w:szCs w:val="20"/>
              </w:rPr>
              <w:t>ambientales</w:t>
            </w:r>
          </w:p>
          <w:p w14:paraId="12704281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4.8 Estrategias de sustentabilidad para el</w:t>
            </w:r>
          </w:p>
          <w:p w14:paraId="77B3F765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escenario económico</w:t>
            </w:r>
          </w:p>
          <w:p w14:paraId="45A53A25" w14:textId="4E7C2D69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4.8.1 Análisis del ciclo de vida: Huella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E5">
              <w:rPr>
                <w:rFonts w:ascii="Arial" w:hAnsi="Arial" w:cs="Arial"/>
                <w:sz w:val="20"/>
                <w:szCs w:val="20"/>
              </w:rPr>
              <w:t>ecológica.</w:t>
            </w:r>
          </w:p>
          <w:p w14:paraId="6EB481B1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4.8.2 Empresas socialmente responsables</w:t>
            </w:r>
          </w:p>
          <w:p w14:paraId="1DE064DB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4.8.3 Oportunidades de desarrollo regional a</w:t>
            </w:r>
          </w:p>
          <w:p w14:paraId="4489DB48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partir de los servicios ambientales o los</w:t>
            </w:r>
          </w:p>
          <w:p w14:paraId="6ED640BE" w14:textId="77AE3C0F" w:rsidR="00C57EFA" w:rsidRPr="00862CFC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A48E5">
              <w:rPr>
                <w:rFonts w:ascii="Arial" w:hAnsi="Arial" w:cs="Arial"/>
                <w:sz w:val="20"/>
                <w:szCs w:val="20"/>
              </w:rPr>
              <w:t>recursos</w:t>
            </w:r>
            <w:proofErr w:type="gramEnd"/>
            <w:r w:rsidRPr="000A48E5">
              <w:rPr>
                <w:rFonts w:ascii="Arial" w:hAnsi="Arial" w:cs="Arial"/>
                <w:sz w:val="20"/>
                <w:szCs w:val="20"/>
              </w:rPr>
              <w:t xml:space="preserve"> naturales.</w:t>
            </w:r>
          </w:p>
        </w:tc>
        <w:tc>
          <w:tcPr>
            <w:tcW w:w="2599" w:type="dxa"/>
          </w:tcPr>
          <w:p w14:paraId="1B7E63E3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4.1 Utilizando diferentes medios didácticos</w:t>
            </w:r>
          </w:p>
          <w:p w14:paraId="5ACAC126" w14:textId="77777777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comprender, qué es la economía, las</w:t>
            </w:r>
          </w:p>
          <w:p w14:paraId="12E20F95" w14:textId="47EFB511" w:rsidR="000A48E5" w:rsidRPr="000A48E5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A48E5">
              <w:rPr>
                <w:rFonts w:ascii="Arial" w:hAnsi="Arial" w:cs="Arial"/>
                <w:sz w:val="20"/>
                <w:szCs w:val="20"/>
              </w:rPr>
              <w:t>actividades</w:t>
            </w:r>
            <w:proofErr w:type="gramEnd"/>
            <w:r w:rsidRPr="000A48E5">
              <w:rPr>
                <w:rFonts w:ascii="Arial" w:hAnsi="Arial" w:cs="Arial"/>
                <w:sz w:val="20"/>
                <w:szCs w:val="20"/>
              </w:rPr>
              <w:t xml:space="preserve"> económicas de México,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E5">
              <w:rPr>
                <w:rFonts w:ascii="Arial" w:hAnsi="Arial" w:cs="Arial"/>
                <w:sz w:val="20"/>
                <w:szCs w:val="20"/>
              </w:rPr>
              <w:t>región y el estado. Presentar las cadenas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E5">
              <w:rPr>
                <w:rFonts w:ascii="Arial" w:hAnsi="Arial" w:cs="Arial"/>
                <w:sz w:val="20"/>
                <w:szCs w:val="20"/>
              </w:rPr>
              <w:t>productivas del estado.</w:t>
            </w:r>
          </w:p>
          <w:p w14:paraId="29B3C389" w14:textId="5BDC8C22" w:rsidR="005053AB" w:rsidRPr="00862CFC" w:rsidRDefault="000A48E5" w:rsidP="000A48E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A48E5">
              <w:rPr>
                <w:rFonts w:ascii="Arial" w:hAnsi="Arial" w:cs="Arial"/>
                <w:sz w:val="20"/>
                <w:szCs w:val="20"/>
              </w:rPr>
              <w:t>4.2 Conocer los distintos sistemas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E5">
              <w:rPr>
                <w:rFonts w:ascii="Arial" w:hAnsi="Arial" w:cs="Arial"/>
                <w:sz w:val="20"/>
                <w:szCs w:val="20"/>
              </w:rPr>
              <w:t xml:space="preserve">producción y los factores de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A48E5">
              <w:rPr>
                <w:rFonts w:ascii="Arial" w:hAnsi="Arial" w:cs="Arial"/>
                <w:sz w:val="20"/>
                <w:szCs w:val="20"/>
              </w:rPr>
              <w:t>roducción,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E5">
              <w:rPr>
                <w:rFonts w:ascii="Arial" w:hAnsi="Arial" w:cs="Arial"/>
                <w:sz w:val="20"/>
                <w:szCs w:val="20"/>
              </w:rPr>
              <w:t>su localidad a través de visitas.</w:t>
            </w:r>
          </w:p>
        </w:tc>
        <w:tc>
          <w:tcPr>
            <w:tcW w:w="2599" w:type="dxa"/>
          </w:tcPr>
          <w:p w14:paraId="41E0110F" w14:textId="77777777" w:rsidR="005053AB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155E33BB" w14:textId="77777777" w:rsidR="00EA40D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  <w:p w14:paraId="23B19B6C" w14:textId="59F356E3" w:rsidR="0087597D" w:rsidRPr="00862CFC" w:rsidRDefault="0087597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investigaciones</w:t>
            </w:r>
          </w:p>
        </w:tc>
        <w:tc>
          <w:tcPr>
            <w:tcW w:w="2599" w:type="dxa"/>
          </w:tcPr>
          <w:p w14:paraId="3234AA88" w14:textId="71F68350" w:rsidR="0063070E" w:rsidRPr="0063070E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070E">
              <w:rPr>
                <w:rFonts w:ascii="Arial" w:hAnsi="Arial" w:cs="Arial"/>
                <w:sz w:val="20"/>
                <w:szCs w:val="20"/>
              </w:rPr>
              <w:t>Compromiso con su medio sociocultural.</w:t>
            </w:r>
          </w:p>
          <w:p w14:paraId="04289535" w14:textId="03EE02B4" w:rsidR="0063070E" w:rsidRPr="0063070E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070E">
              <w:rPr>
                <w:rFonts w:ascii="Arial" w:hAnsi="Arial" w:cs="Arial"/>
                <w:sz w:val="20"/>
                <w:szCs w:val="20"/>
              </w:rPr>
              <w:t>Capacidad para tomar decisiones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070E">
              <w:rPr>
                <w:rFonts w:ascii="Arial" w:hAnsi="Arial" w:cs="Arial"/>
                <w:sz w:val="20"/>
                <w:szCs w:val="20"/>
              </w:rPr>
              <w:t>su ámbito profesional.</w:t>
            </w:r>
          </w:p>
          <w:p w14:paraId="23F0B58C" w14:textId="33A32625" w:rsidR="0063070E" w:rsidRPr="0063070E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070E">
              <w:rPr>
                <w:rFonts w:ascii="Arial" w:hAnsi="Arial" w:cs="Arial"/>
                <w:sz w:val="20"/>
                <w:szCs w:val="20"/>
              </w:rPr>
              <w:t>Valoración y respeto por la</w:t>
            </w:r>
          </w:p>
          <w:p w14:paraId="3B81E98E" w14:textId="6471848A" w:rsidR="005053AB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3070E">
              <w:rPr>
                <w:rFonts w:ascii="Arial" w:hAnsi="Arial" w:cs="Arial"/>
                <w:sz w:val="20"/>
                <w:szCs w:val="20"/>
              </w:rPr>
              <w:t>diversidad</w:t>
            </w:r>
            <w:proofErr w:type="gramEnd"/>
            <w:r w:rsidRPr="0063070E">
              <w:rPr>
                <w:rFonts w:ascii="Arial" w:hAnsi="Arial" w:cs="Arial"/>
                <w:sz w:val="20"/>
                <w:szCs w:val="20"/>
              </w:rPr>
              <w:t xml:space="preserve"> y multiculturalidad.</w:t>
            </w:r>
          </w:p>
        </w:tc>
        <w:tc>
          <w:tcPr>
            <w:tcW w:w="2600" w:type="dxa"/>
          </w:tcPr>
          <w:p w14:paraId="57198BE6" w14:textId="128EAAB8" w:rsidR="005053AB" w:rsidRPr="00862CF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4BFB4A09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0675EFE" w:rsidR="005053AB" w:rsidRPr="00233468" w:rsidRDefault="00D2692B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y comprender sistemas de producción </w:t>
            </w:r>
          </w:p>
        </w:tc>
        <w:tc>
          <w:tcPr>
            <w:tcW w:w="6498" w:type="dxa"/>
          </w:tcPr>
          <w:p w14:paraId="1E770817" w14:textId="311BFCBC" w:rsidR="000300FF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7A00472" w:rsidR="00DE26A7" w:rsidRPr="00233468" w:rsidRDefault="00D2692B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externalización e internalización de costos</w:t>
            </w:r>
          </w:p>
        </w:tc>
        <w:tc>
          <w:tcPr>
            <w:tcW w:w="6498" w:type="dxa"/>
          </w:tcPr>
          <w:p w14:paraId="76CEE991" w14:textId="19BB840D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36565F97" w:rsidR="00DE26A7" w:rsidRPr="00233468" w:rsidRDefault="00D2692B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estrategias de sustentabilidad para el escenario económico</w:t>
            </w:r>
          </w:p>
        </w:tc>
        <w:tc>
          <w:tcPr>
            <w:tcW w:w="6498" w:type="dxa"/>
          </w:tcPr>
          <w:p w14:paraId="60A70194" w14:textId="49C5B2B3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3DEF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61B55922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3DEF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52969F6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3DE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0D2B878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3DE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EFB8C9D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3DEF" w:rsidRPr="00862CFC" w14:paraId="7DB6940C" w14:textId="77777777" w:rsidTr="00206F1D">
        <w:tc>
          <w:tcPr>
            <w:tcW w:w="3249" w:type="dxa"/>
          </w:tcPr>
          <w:p w14:paraId="34D87226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4E45A5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108F35B2" w:rsidR="00055465" w:rsidRPr="00106009" w:rsidRDefault="00AA29F9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1385D14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4EDF37D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7A2C087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29C0C4C6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F2F9562" w:rsidR="00055465" w:rsidRPr="00106009" w:rsidRDefault="00AA29F9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A29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C8FCA37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Proyecto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A579C1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1CE19DD4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6960D05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3F9C112F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4ADA170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de investigación relacionada a los temas de la competencia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34D8D74" w:rsidR="00055465" w:rsidRDefault="00AA29F9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E0CC1D3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14C0759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89428DE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60132C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Registro de entrega en tiempo de avances y entrega final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A74ABD2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8F06DE8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B53639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C200C0C" w14:textId="4748786A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Acuña, A., Aguilera, R., Aguayo, M., &amp; Azúcar, G. (2003). Conceptos básicos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medio ambie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A29F9">
              <w:rPr>
                <w:rFonts w:ascii="Arial" w:hAnsi="Arial" w:cs="Arial"/>
                <w:sz w:val="20"/>
                <w:szCs w:val="20"/>
              </w:rPr>
              <w:t>te y desarrollo sustentable. Fondo de la cooperación técnica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República Federal Alemana.</w:t>
            </w:r>
          </w:p>
          <w:p w14:paraId="747B1F1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Academia Nacional de Educación Ambiental (ANEA)</w:t>
            </w:r>
          </w:p>
          <w:p w14:paraId="3265BE5B" w14:textId="42404F0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http://anea.org.mx/Documentos.htm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044477AA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 xml:space="preserve">Agenda 21 -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United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Nations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Division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Sustainable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Development</w:t>
            </w:r>
            <w:proofErr w:type="spellEnd"/>
          </w:p>
          <w:p w14:paraId="51AF56A0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http://www.un.org/esa/sustdev/documents/agenda21/index.htm</w:t>
            </w:r>
          </w:p>
          <w:p w14:paraId="4E9B15DC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 xml:space="preserve">Alianza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Geografica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. http://www.alianzageografica.org/leccion.html</w:t>
            </w:r>
          </w:p>
          <w:p w14:paraId="2EA27BA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Azqueta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, O. (2002). Introducción a la economía ambiental. Madrid: Mc Graw-Hill.</w:t>
            </w:r>
          </w:p>
          <w:p w14:paraId="6C341989" w14:textId="51CD3F3C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 xml:space="preserve">Beltrán-Morales L.F.,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Urciaga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-García J.L. y Ortega-Rubio A. (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Eds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). (2006). Desarrollo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sustentable ¿mito o realidad? Centro de Investigaciones Biológicas del Noroeste,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S.C. 272.</w:t>
            </w:r>
          </w:p>
          <w:p w14:paraId="1EEB8E80" w14:textId="7265B3DC" w:rsidR="00106009" w:rsidRPr="00862CFC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Brañes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R. (2000). Manual de derecho ambiental mexicano. México, Editorial Fondo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Cultura Económica.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55242D7" w14:textId="77777777" w:rsidR="0010600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7FDB0F03" w14:textId="77777777" w:rsidR="00AA29F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  <w:p w14:paraId="0975D7C2" w14:textId="3D778D79" w:rsidR="00AA29F9" w:rsidRPr="00862CFC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pizarron</w:t>
            </w:r>
            <w:proofErr w:type="spellEnd"/>
          </w:p>
        </w:tc>
      </w:tr>
    </w:tbl>
    <w:p w14:paraId="460D3269" w14:textId="11DBEF49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60"/>
        <w:gridCol w:w="760"/>
        <w:gridCol w:w="759"/>
        <w:gridCol w:w="759"/>
        <w:gridCol w:w="759"/>
        <w:gridCol w:w="759"/>
        <w:gridCol w:w="759"/>
        <w:gridCol w:w="759"/>
        <w:gridCol w:w="760"/>
        <w:gridCol w:w="794"/>
        <w:gridCol w:w="794"/>
        <w:gridCol w:w="794"/>
        <w:gridCol w:w="761"/>
        <w:gridCol w:w="761"/>
        <w:gridCol w:w="761"/>
        <w:gridCol w:w="761"/>
      </w:tblGrid>
      <w:tr w:rsidR="00862CFC" w:rsidRPr="00862CFC" w14:paraId="5BE371E2" w14:textId="77777777" w:rsidTr="00D2692B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0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9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9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1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1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1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1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2692B" w:rsidRPr="00862CFC" w14:paraId="23032042" w14:textId="77777777" w:rsidTr="00D2692B">
        <w:tc>
          <w:tcPr>
            <w:tcW w:w="962" w:type="dxa"/>
          </w:tcPr>
          <w:p w14:paraId="61B1CD54" w14:textId="77777777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0" w:type="dxa"/>
          </w:tcPr>
          <w:p w14:paraId="5878A32C" w14:textId="4B66F330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0DF39E1D" w14:textId="46BFE953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73DBFA0" w14:textId="60C027B3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038C4E68" w14:textId="1234D54A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B553D20" w14:textId="3D481AB1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01272DF" w14:textId="55085F98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F5F75AC" w14:textId="76D1AB00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43CD3087" w14:textId="586D5E90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616CF327" w14:textId="0F5F5C87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4DCC5BF2" w14:textId="24D2C7C7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94" w:type="dxa"/>
          </w:tcPr>
          <w:p w14:paraId="663DB8DD" w14:textId="4546F688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94" w:type="dxa"/>
          </w:tcPr>
          <w:p w14:paraId="06AC3F09" w14:textId="4E6CA60F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0F36977C" w14:textId="77777777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AD913A9" w14:textId="77777777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9661284" w14:textId="77777777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5850978C" w14:textId="77777777" w:rsidR="00D2692B" w:rsidRPr="00862CFC" w:rsidRDefault="00D2692B" w:rsidP="00D269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D2692B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0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D2692B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0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1907CDD" w:rsidR="00862CFC" w:rsidRPr="00862CFC" w:rsidRDefault="00B37C54" w:rsidP="00B37C54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1E8CCC1C" w:rsidR="00862CFC" w:rsidRPr="00862CFC" w:rsidRDefault="00D2692B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862CFC" w:rsidRPr="00862CFC">
              <w:rPr>
                <w:rFonts w:ascii="Arial" w:hAnsi="Arial" w:cs="Arial"/>
                <w:sz w:val="20"/>
                <w:szCs w:val="20"/>
              </w:rPr>
              <w:t>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546C5934" w14:textId="7B24AA48" w:rsidR="007A22EC" w:rsidRDefault="007A22EC" w:rsidP="00D2692B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sectPr w:rsidR="007A22EC" w:rsidSect="00D2692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27C6D" w14:textId="77777777" w:rsidR="00781B6F" w:rsidRDefault="00781B6F" w:rsidP="00862CFC">
      <w:pPr>
        <w:spacing w:after="0" w:line="240" w:lineRule="auto"/>
      </w:pPr>
      <w:r>
        <w:separator/>
      </w:r>
    </w:p>
  </w:endnote>
  <w:endnote w:type="continuationSeparator" w:id="0">
    <w:p w14:paraId="68D31194" w14:textId="77777777" w:rsidR="00781B6F" w:rsidRDefault="00781B6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B1B47" w14:textId="77777777" w:rsidR="00781B6F" w:rsidRDefault="00781B6F" w:rsidP="00862CFC">
      <w:pPr>
        <w:spacing w:after="0" w:line="240" w:lineRule="auto"/>
      </w:pPr>
      <w:r>
        <w:separator/>
      </w:r>
    </w:p>
  </w:footnote>
  <w:footnote w:type="continuationSeparator" w:id="0">
    <w:p w14:paraId="752A10A8" w14:textId="77777777" w:rsidR="00781B6F" w:rsidRDefault="00781B6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781B6F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554267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2692B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2692B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D7D1D"/>
    <w:multiLevelType w:val="hybridMultilevel"/>
    <w:tmpl w:val="35E2A2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1C81"/>
    <w:rsid w:val="000A48E5"/>
    <w:rsid w:val="000B7A39"/>
    <w:rsid w:val="000C31CA"/>
    <w:rsid w:val="001024C5"/>
    <w:rsid w:val="00106009"/>
    <w:rsid w:val="001067AA"/>
    <w:rsid w:val="00160D9F"/>
    <w:rsid w:val="001D7549"/>
    <w:rsid w:val="00206F1D"/>
    <w:rsid w:val="00233468"/>
    <w:rsid w:val="00293FBE"/>
    <w:rsid w:val="00373659"/>
    <w:rsid w:val="00493A2D"/>
    <w:rsid w:val="004F065B"/>
    <w:rsid w:val="005053AB"/>
    <w:rsid w:val="00536B92"/>
    <w:rsid w:val="005624BE"/>
    <w:rsid w:val="0057748F"/>
    <w:rsid w:val="00593663"/>
    <w:rsid w:val="0063070E"/>
    <w:rsid w:val="00643DEF"/>
    <w:rsid w:val="00744965"/>
    <w:rsid w:val="00781B6F"/>
    <w:rsid w:val="007A22EC"/>
    <w:rsid w:val="00824F18"/>
    <w:rsid w:val="00862CFC"/>
    <w:rsid w:val="00865C4A"/>
    <w:rsid w:val="0087597D"/>
    <w:rsid w:val="008C7776"/>
    <w:rsid w:val="009905D5"/>
    <w:rsid w:val="00992C3B"/>
    <w:rsid w:val="00A37058"/>
    <w:rsid w:val="00A676AA"/>
    <w:rsid w:val="00AA29F9"/>
    <w:rsid w:val="00AD3509"/>
    <w:rsid w:val="00AE14E7"/>
    <w:rsid w:val="00B23CAE"/>
    <w:rsid w:val="00B31A95"/>
    <w:rsid w:val="00B37C54"/>
    <w:rsid w:val="00BA5082"/>
    <w:rsid w:val="00BE7924"/>
    <w:rsid w:val="00C127DC"/>
    <w:rsid w:val="00C2069A"/>
    <w:rsid w:val="00C57EFA"/>
    <w:rsid w:val="00D1749F"/>
    <w:rsid w:val="00D2692B"/>
    <w:rsid w:val="00DC46A5"/>
    <w:rsid w:val="00DD7D08"/>
    <w:rsid w:val="00DE26A7"/>
    <w:rsid w:val="00EA40DC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2616</TotalTime>
  <Pages>5</Pages>
  <Words>888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5</cp:revision>
  <cp:lastPrinted>2016-01-11T15:55:00Z</cp:lastPrinted>
  <dcterms:created xsi:type="dcterms:W3CDTF">2017-09-08T22:34:00Z</dcterms:created>
  <dcterms:modified xsi:type="dcterms:W3CDTF">2017-09-10T18:10:00Z</dcterms:modified>
</cp:coreProperties>
</file>